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06B4" w:rsidRPr="00AE31F8" w:rsidRDefault="005C06B4" w:rsidP="005C06B4">
      <w:pPr>
        <w:pStyle w:val="Normlnywebov"/>
        <w:spacing w:before="0" w:beforeAutospacing="0" w:after="160" w:afterAutospacing="0"/>
        <w:jc w:val="both"/>
        <w:outlineLvl w:val="0"/>
        <w:rPr>
          <w:lang w:val="sk-SK"/>
        </w:rPr>
      </w:pPr>
      <w:bookmarkStart w:id="0" w:name="_GoBack"/>
      <w:bookmarkEnd w:id="0"/>
      <w:r w:rsidRPr="00AE31F8">
        <w:rPr>
          <w:lang w:val="sk-SK"/>
        </w:rPr>
        <w:t xml:space="preserve">                      Pracovná skupina pre </w:t>
      </w:r>
      <w:r w:rsidR="00FA6AA0" w:rsidRPr="00AE31F8">
        <w:rPr>
          <w:lang w:val="sk-SK"/>
        </w:rPr>
        <w:t>riadenie rizík</w:t>
      </w:r>
      <w:r w:rsidR="00AB5E6C" w:rsidRPr="00AE31F8">
        <w:rPr>
          <w:lang w:val="sk-SK"/>
        </w:rPr>
        <w:t>, 10</w:t>
      </w:r>
      <w:r w:rsidRPr="00AE31F8">
        <w:rPr>
          <w:lang w:val="sk-SK"/>
        </w:rPr>
        <w:t xml:space="preserve">. </w:t>
      </w:r>
      <w:r w:rsidR="00AB5E6C" w:rsidRPr="00AE31F8">
        <w:rPr>
          <w:lang w:val="sk-SK"/>
        </w:rPr>
        <w:t>mája</w:t>
      </w:r>
      <w:r w:rsidRPr="00AE31F8">
        <w:rPr>
          <w:lang w:val="sk-SK"/>
        </w:rPr>
        <w:t xml:space="preserve"> 2019 </w:t>
      </w:r>
    </w:p>
    <w:p w:rsidR="00AB5E6C" w:rsidRPr="00AE31F8" w:rsidRDefault="005C06B4" w:rsidP="00AB5E6C">
      <w:pPr>
        <w:pStyle w:val="Normlnywebov"/>
        <w:spacing w:before="0" w:beforeAutospacing="0" w:after="160" w:afterAutospacing="0"/>
        <w:ind w:left="284"/>
        <w:jc w:val="both"/>
        <w:outlineLvl w:val="0"/>
        <w:rPr>
          <w:b/>
          <w:lang w:val="sk-SK"/>
        </w:rPr>
      </w:pPr>
      <w:r w:rsidRPr="00AE31F8">
        <w:rPr>
          <w:b/>
          <w:lang w:val="sk-SK"/>
        </w:rPr>
        <w:t>Zhrnutie správy zo zasadnutia:</w:t>
      </w:r>
    </w:p>
    <w:p w:rsidR="00AB5E6C" w:rsidRPr="00AE31F8" w:rsidRDefault="00AB5E6C" w:rsidP="00AB5E6C">
      <w:pPr>
        <w:pStyle w:val="Normlnywebov"/>
        <w:spacing w:before="0" w:beforeAutospacing="0" w:after="160" w:afterAutospacing="0"/>
        <w:ind w:left="284"/>
        <w:jc w:val="both"/>
        <w:outlineLvl w:val="0"/>
        <w:rPr>
          <w:lang w:val="sk-SK"/>
        </w:rPr>
      </w:pPr>
      <w:r w:rsidRPr="00AE31F8">
        <w:rPr>
          <w:lang w:val="sk-SK"/>
        </w:rPr>
        <w:t>Predsedá Paola Grossi (IT)</w:t>
      </w:r>
    </w:p>
    <w:p w:rsidR="005C06B4" w:rsidRPr="00AE31F8" w:rsidRDefault="00AB5E6C" w:rsidP="005C06B4">
      <w:pPr>
        <w:ind w:left="180"/>
        <w:jc w:val="both"/>
        <w:rPr>
          <w:b/>
          <w:lang w:val="sk-SK"/>
        </w:rPr>
      </w:pPr>
      <w:r w:rsidRPr="00AE31F8">
        <w:rPr>
          <w:b/>
          <w:lang w:val="sk-SK"/>
        </w:rPr>
        <w:t>Indexové poistenie v Španielsku (Carmen Sánchez, Ministerstvo poľnohospodárstva  ES)</w:t>
      </w:r>
    </w:p>
    <w:p w:rsidR="005C06B4" w:rsidRPr="00AE31F8" w:rsidRDefault="00AB5E6C" w:rsidP="005C06B4">
      <w:pPr>
        <w:ind w:left="180"/>
        <w:jc w:val="both"/>
        <w:rPr>
          <w:lang w:val="sk-SK"/>
        </w:rPr>
      </w:pPr>
      <w:r w:rsidRPr="00AE31F8">
        <w:rPr>
          <w:lang w:val="sk-SK"/>
        </w:rPr>
        <w:t xml:space="preserve">Poľnohospodárske poistenie je v Španielsku </w:t>
      </w:r>
      <w:r w:rsidR="00FA6AA0" w:rsidRPr="00AE31F8">
        <w:rPr>
          <w:lang w:val="sk-SK"/>
        </w:rPr>
        <w:t>založené na</w:t>
      </w:r>
      <w:r w:rsidRPr="00AE31F8">
        <w:rPr>
          <w:lang w:val="sk-SK"/>
        </w:rPr>
        <w:t xml:space="preserve"> spoločnej účasti verejných a súkromných inštitúcií, náklady sú čiastočne dotované vládou. V rámci poistenia sa financujú napr. straty poľnohospodárov v súvislosti s klimatickými zmenami (napr. extrémne suchá, záplavy). Od roku 2001 sa uplatňujú indexy prostredníctvom snímok zo satelitu.</w:t>
      </w:r>
      <w:r w:rsidR="00FA6AA0" w:rsidRPr="00AE31F8">
        <w:rPr>
          <w:lang w:val="sk-SK"/>
        </w:rPr>
        <w:t xml:space="preserve"> Ide napr. o tzv. vegetatívny index na stanovenie miery sucha, index sa aktualizuje každých 10 dní. Výplaty náhrad sa vyplácajú do 60 dní od zberu úrody alebo od konca záruk vo výške utrpenej hospodárskej škody podľa zmluvného krytia. Monitorov</w:t>
      </w:r>
      <w:r w:rsidR="00664C46" w:rsidRPr="00AE31F8">
        <w:rPr>
          <w:lang w:val="sk-SK"/>
        </w:rPr>
        <w:t>a</w:t>
      </w:r>
      <w:r w:rsidR="00FA6AA0" w:rsidRPr="00AE31F8">
        <w:rPr>
          <w:lang w:val="sk-SK"/>
        </w:rPr>
        <w:t>nie cez satelit je objektívne a nestranné.</w:t>
      </w:r>
    </w:p>
    <w:p w:rsidR="00FA6AA0" w:rsidRPr="00AE31F8" w:rsidRDefault="00FA6AA0" w:rsidP="005C06B4">
      <w:pPr>
        <w:ind w:left="180"/>
        <w:jc w:val="both"/>
        <w:rPr>
          <w:lang w:val="sk-SK"/>
        </w:rPr>
      </w:pPr>
      <w:r w:rsidRPr="00AE31F8">
        <w:rPr>
          <w:u w:val="single"/>
          <w:lang w:val="sk-SK"/>
        </w:rPr>
        <w:t xml:space="preserve">Diskusia: </w:t>
      </w:r>
      <w:r w:rsidRPr="00AE31F8">
        <w:rPr>
          <w:lang w:val="sk-SK"/>
        </w:rPr>
        <w:t xml:space="preserve"> Vo FR sa uplatňuje index denný, historický a priemerný a existuje viac poistných schém.</w:t>
      </w:r>
    </w:p>
    <w:p w:rsidR="005C06B4" w:rsidRPr="00AE31F8" w:rsidRDefault="005C06B4" w:rsidP="005C06B4">
      <w:pPr>
        <w:ind w:left="180"/>
        <w:jc w:val="both"/>
        <w:rPr>
          <w:lang w:val="sk-SK"/>
        </w:rPr>
      </w:pPr>
    </w:p>
    <w:p w:rsidR="005C06B4" w:rsidRPr="00AE31F8" w:rsidRDefault="00FA6AA0" w:rsidP="005C06B4">
      <w:pPr>
        <w:ind w:left="180"/>
        <w:jc w:val="both"/>
        <w:rPr>
          <w:b/>
          <w:lang w:val="sk-SK"/>
        </w:rPr>
      </w:pPr>
      <w:r w:rsidRPr="00AE31F8">
        <w:rPr>
          <w:b/>
          <w:lang w:val="sk-SK"/>
        </w:rPr>
        <w:t>Okrúhly stôl o aktuálnej situácii riadenia rizík v jednotlivých členských štátoch s ohľadom na SPP po roku 2020</w:t>
      </w:r>
    </w:p>
    <w:p w:rsidR="005C06B4" w:rsidRPr="00AE31F8" w:rsidRDefault="00FA6AA0" w:rsidP="005C06B4">
      <w:pPr>
        <w:ind w:left="180"/>
        <w:jc w:val="both"/>
        <w:rPr>
          <w:bCs/>
          <w:color w:val="222222"/>
          <w:shd w:val="clear" w:color="auto" w:fill="FFFFFF"/>
          <w:lang w:val="sk-SK"/>
        </w:rPr>
      </w:pPr>
      <w:r w:rsidRPr="00AE31F8">
        <w:rPr>
          <w:bCs/>
          <w:color w:val="222222"/>
          <w:shd w:val="clear" w:color="auto" w:fill="FFFFFF"/>
          <w:lang w:val="sk-SK"/>
        </w:rPr>
        <w:t xml:space="preserve">V DE a AT nie sú poskytované žiadne podpory v rámci I. piliera, SE a IE majú dobrovoľné systémy riadenia rizík, v IT </w:t>
      </w:r>
      <w:r w:rsidR="002F1E1A" w:rsidRPr="00AE31F8">
        <w:rPr>
          <w:bCs/>
          <w:color w:val="222222"/>
          <w:shd w:val="clear" w:color="auto" w:fill="FFFFFF"/>
          <w:lang w:val="sk-SK"/>
        </w:rPr>
        <w:t xml:space="preserve">a DK </w:t>
      </w:r>
      <w:r w:rsidRPr="00AE31F8">
        <w:rPr>
          <w:bCs/>
          <w:color w:val="222222"/>
          <w:shd w:val="clear" w:color="auto" w:fill="FFFFFF"/>
          <w:lang w:val="sk-SK"/>
        </w:rPr>
        <w:t>zvažujú možnosť podpory v rámci II. piliera</w:t>
      </w:r>
      <w:r w:rsidR="002F1E1A" w:rsidRPr="00AE31F8">
        <w:rPr>
          <w:bCs/>
          <w:color w:val="222222"/>
          <w:shd w:val="clear" w:color="auto" w:fill="FFFFFF"/>
          <w:lang w:val="sk-SK"/>
        </w:rPr>
        <w:t xml:space="preserve"> v budúcej SPP.</w:t>
      </w:r>
    </w:p>
    <w:p w:rsidR="005C06B4" w:rsidRPr="00AE31F8" w:rsidRDefault="005C06B4" w:rsidP="005C06B4">
      <w:pPr>
        <w:ind w:left="180"/>
        <w:jc w:val="both"/>
        <w:rPr>
          <w:bCs/>
          <w:color w:val="222222"/>
          <w:shd w:val="clear" w:color="auto" w:fill="FFFFFF"/>
          <w:lang w:val="sk-SK"/>
        </w:rPr>
      </w:pPr>
    </w:p>
    <w:p w:rsidR="005C06B4" w:rsidRPr="00AE31F8" w:rsidRDefault="002F1E1A" w:rsidP="005C06B4">
      <w:pPr>
        <w:ind w:left="180"/>
        <w:jc w:val="both"/>
        <w:rPr>
          <w:bCs/>
          <w:color w:val="222222"/>
          <w:shd w:val="clear" w:color="auto" w:fill="FFFFFF"/>
          <w:lang w:val="sk-SK"/>
        </w:rPr>
      </w:pPr>
      <w:r w:rsidRPr="00AE31F8">
        <w:rPr>
          <w:b/>
          <w:bCs/>
          <w:color w:val="222222"/>
          <w:shd w:val="clear" w:color="auto" w:fill="FFFFFF"/>
          <w:lang w:val="sk-SK"/>
        </w:rPr>
        <w:t>Nové pravidlá štátnej podpory</w:t>
      </w:r>
    </w:p>
    <w:p w:rsidR="005C06B4" w:rsidRPr="00AE31F8" w:rsidRDefault="002F1E1A" w:rsidP="005C06B4">
      <w:pPr>
        <w:ind w:left="180"/>
        <w:jc w:val="both"/>
        <w:rPr>
          <w:bCs/>
          <w:color w:val="222222"/>
          <w:shd w:val="clear" w:color="auto" w:fill="FFFFFF"/>
          <w:lang w:val="sk-SK"/>
        </w:rPr>
      </w:pPr>
      <w:r w:rsidRPr="00AE31F8">
        <w:rPr>
          <w:bCs/>
          <w:color w:val="222222"/>
          <w:shd w:val="clear" w:color="auto" w:fill="FFFFFF"/>
          <w:lang w:val="sk-SK"/>
        </w:rPr>
        <w:t>Komisia prijala vo februári 2019 revidované pravidlá pre štátnu podporu v odvetví poľnohospodárstva (podpora de minimis): navýšila max. čiastku z 15 000 na 20 000 eur, ktorú môžu vnútroštátne orgány použiť na podporu poľnohospodárov bez predchádzajúceho schválenia, čo umožní väčšiu flexibilitu a účinnosť najmä v obdobiach krízy.</w:t>
      </w:r>
    </w:p>
    <w:p w:rsidR="002F1E1A" w:rsidRPr="00AE31F8" w:rsidRDefault="002F1E1A" w:rsidP="005C06B4">
      <w:pPr>
        <w:ind w:left="180"/>
        <w:jc w:val="both"/>
        <w:rPr>
          <w:bCs/>
          <w:color w:val="222222"/>
          <w:shd w:val="clear" w:color="auto" w:fill="FFFFFF"/>
          <w:lang w:val="sk-SK"/>
        </w:rPr>
      </w:pPr>
    </w:p>
    <w:p w:rsidR="002F1E1A" w:rsidRPr="00AE31F8" w:rsidRDefault="002F1E1A" w:rsidP="005C06B4">
      <w:pPr>
        <w:ind w:left="180"/>
        <w:jc w:val="both"/>
        <w:rPr>
          <w:b/>
          <w:bCs/>
          <w:color w:val="222222"/>
          <w:shd w:val="clear" w:color="auto" w:fill="FFFFFF"/>
          <w:lang w:val="sk-SK"/>
        </w:rPr>
      </w:pPr>
      <w:r w:rsidRPr="00AE31F8">
        <w:rPr>
          <w:b/>
          <w:bCs/>
          <w:color w:val="222222"/>
          <w:shd w:val="clear" w:color="auto" w:fill="FFFFFF"/>
          <w:lang w:val="sk-SK"/>
        </w:rPr>
        <w:t xml:space="preserve">Skúsenosti s vykonávaním </w:t>
      </w:r>
      <w:r w:rsidR="00EF0C57" w:rsidRPr="00AE31F8">
        <w:rPr>
          <w:b/>
          <w:bCs/>
          <w:color w:val="222222"/>
          <w:shd w:val="clear" w:color="auto" w:fill="FFFFFF"/>
          <w:lang w:val="sk-SK"/>
        </w:rPr>
        <w:t>nástrojov riadenia rizík na úrovni členských štátov</w:t>
      </w:r>
    </w:p>
    <w:p w:rsidR="005C06B4" w:rsidRPr="00AE31F8" w:rsidRDefault="00EF0C57" w:rsidP="005C06B4">
      <w:pPr>
        <w:ind w:left="180"/>
        <w:jc w:val="both"/>
        <w:rPr>
          <w:b/>
          <w:lang w:val="sk-SK"/>
        </w:rPr>
      </w:pPr>
      <w:r w:rsidRPr="00AE31F8">
        <w:rPr>
          <w:b/>
          <w:lang w:val="sk-SK"/>
        </w:rPr>
        <w:t>Dotazník o vykonávaní nariadenia Omnibus</w:t>
      </w:r>
    </w:p>
    <w:p w:rsidR="00EF0C57" w:rsidRPr="00AE31F8" w:rsidRDefault="00EF0C57" w:rsidP="005C06B4">
      <w:pPr>
        <w:ind w:left="180"/>
        <w:jc w:val="both"/>
        <w:rPr>
          <w:lang w:val="sk-SK"/>
        </w:rPr>
      </w:pPr>
      <w:r w:rsidRPr="00AE31F8">
        <w:rPr>
          <w:lang w:val="sk-SK"/>
        </w:rPr>
        <w:t>FR – podpora financovania poistenia z II. piliera SPP.</w:t>
      </w:r>
    </w:p>
    <w:p w:rsidR="00EF0C57" w:rsidRPr="00AE31F8" w:rsidRDefault="00EF0C57" w:rsidP="005C06B4">
      <w:pPr>
        <w:ind w:left="180"/>
        <w:jc w:val="both"/>
        <w:rPr>
          <w:lang w:val="sk-SK"/>
        </w:rPr>
      </w:pPr>
      <w:r w:rsidRPr="00AE31F8">
        <w:rPr>
          <w:lang w:val="sk-SK"/>
        </w:rPr>
        <w:t>IT – počet poistených poľnohospodárskych podnikov je od roku 2012 stabilný, nárast celkovej čiastky poistenia z 6 825 mil. na 7 589 mil. eur. Predmetom poistenia je prevažne rastlinná výroba</w:t>
      </w:r>
      <w:r w:rsidR="00664C46" w:rsidRPr="00AE31F8">
        <w:rPr>
          <w:lang w:val="sk-SK"/>
        </w:rPr>
        <w:t xml:space="preserve"> (na sucho, záplavy, krupobitie</w:t>
      </w:r>
      <w:r w:rsidR="00A64D33" w:rsidRPr="00AE31F8">
        <w:rPr>
          <w:lang w:val="sk-SK"/>
        </w:rPr>
        <w:t>).</w:t>
      </w:r>
    </w:p>
    <w:p w:rsidR="00A64D33" w:rsidRPr="00AE31F8" w:rsidRDefault="00A64D33" w:rsidP="005C06B4">
      <w:pPr>
        <w:ind w:left="180"/>
        <w:jc w:val="both"/>
        <w:rPr>
          <w:lang w:val="sk-SK"/>
        </w:rPr>
      </w:pPr>
    </w:p>
    <w:p w:rsidR="005C06B4" w:rsidRPr="00AE31F8" w:rsidRDefault="00A64D33" w:rsidP="005C06B4">
      <w:pPr>
        <w:ind w:left="180"/>
        <w:jc w:val="both"/>
        <w:rPr>
          <w:lang w:val="sk-SK"/>
        </w:rPr>
      </w:pPr>
      <w:r w:rsidRPr="00AE31F8">
        <w:rPr>
          <w:b/>
          <w:lang w:val="sk-SK"/>
        </w:rPr>
        <w:t>IST v Taliansku v mliečnom odvetví</w:t>
      </w:r>
    </w:p>
    <w:p w:rsidR="005C06B4" w:rsidRPr="00AE31F8" w:rsidRDefault="00A64D33" w:rsidP="005C06B4">
      <w:pPr>
        <w:ind w:left="180"/>
        <w:jc w:val="both"/>
        <w:rPr>
          <w:lang w:val="sk-SK"/>
        </w:rPr>
      </w:pPr>
      <w:r w:rsidRPr="00AE31F8">
        <w:rPr>
          <w:lang w:val="sk-SK"/>
        </w:rPr>
        <w:t>Prof. Samuele Trestinias referoval o štúdii, ktorú spracovala univerzita v Padove. Práce na štúdii prebiehali v rokoch 2008 – 2013, sledovali 109 malých a stredných podnikov, konkrétne náklady na chov dojníc a ich produktivitu. Z výsledkov vyplynulo priemerné zloženie krmiva dojníc, priemerné náklady na dojnicu a priemerné príjmy z mlieka. Priemerné vyplatené kompenzácie príjmov predstavovali 0,7%  – 10</w:t>
      </w:r>
      <w:r w:rsidR="0070536E" w:rsidRPr="00AE31F8">
        <w:rPr>
          <w:lang w:val="sk-SK"/>
        </w:rPr>
        <w:t>,4%, pričom vyššie boli v horských a poľnohospodársky znevýhodnených oblastiach. Kompenzácie však ani v jednom prípade neboli dostatočné.</w:t>
      </w:r>
    </w:p>
    <w:p w:rsidR="0070536E" w:rsidRPr="00AE31F8" w:rsidRDefault="0070536E" w:rsidP="005C06B4">
      <w:pPr>
        <w:ind w:left="180"/>
        <w:jc w:val="both"/>
        <w:rPr>
          <w:lang w:val="sk-SK"/>
        </w:rPr>
      </w:pPr>
    </w:p>
    <w:p w:rsidR="0070536E" w:rsidRPr="00AE31F8" w:rsidRDefault="0070536E" w:rsidP="005C06B4">
      <w:pPr>
        <w:ind w:left="180"/>
        <w:jc w:val="both"/>
        <w:rPr>
          <w:b/>
          <w:lang w:val="sk-SK"/>
        </w:rPr>
      </w:pPr>
      <w:r w:rsidRPr="00AE31F8">
        <w:rPr>
          <w:b/>
          <w:lang w:val="sk-SK"/>
        </w:rPr>
        <w:lastRenderedPageBreak/>
        <w:t>Skupina ABACO: Platforma inovatívnych nástrojov pre riadenie rizík</w:t>
      </w:r>
    </w:p>
    <w:p w:rsidR="0070536E" w:rsidRPr="00AE31F8" w:rsidRDefault="0070536E" w:rsidP="005C06B4">
      <w:pPr>
        <w:ind w:left="180"/>
        <w:jc w:val="both"/>
        <w:rPr>
          <w:lang w:val="sk-SK"/>
        </w:rPr>
      </w:pPr>
      <w:r w:rsidRPr="00AE31F8">
        <w:rPr>
          <w:lang w:val="sk-SK"/>
        </w:rPr>
        <w:t xml:space="preserve">Táto platforma bola založená pred 30 rokmi v severnom IT a v UK, poskytuje služby vo forme analýz pre všetky poľnohospodárske sektory a ich špecifické aspekty. Jej víziou je vytvorenie integrovaného systému pomocou použitia špičkových technológií, výsledky monitorovania sa interpretujú ako následné </w:t>
      </w:r>
      <w:r w:rsidR="00AE31F8">
        <w:rPr>
          <w:lang w:val="sk-SK"/>
        </w:rPr>
        <w:t>odporúčania</w:t>
      </w:r>
      <w:r w:rsidRPr="00AE31F8">
        <w:rPr>
          <w:lang w:val="sk-SK"/>
        </w:rPr>
        <w:t xml:space="preserve"> na efektívnejšiu výrobu.</w:t>
      </w:r>
    </w:p>
    <w:p w:rsidR="005C06B4" w:rsidRPr="00AE31F8" w:rsidRDefault="005C06B4" w:rsidP="005C06B4">
      <w:pPr>
        <w:ind w:left="180"/>
        <w:jc w:val="both"/>
        <w:rPr>
          <w:lang w:val="sk-SK"/>
        </w:rPr>
      </w:pPr>
    </w:p>
    <w:p w:rsidR="0070536E" w:rsidRPr="00AE31F8" w:rsidRDefault="0070536E" w:rsidP="005C06B4">
      <w:pPr>
        <w:ind w:left="180"/>
        <w:jc w:val="both"/>
        <w:rPr>
          <w:b/>
          <w:lang w:val="sk-SK"/>
        </w:rPr>
      </w:pPr>
      <w:r w:rsidRPr="00AE31F8">
        <w:rPr>
          <w:b/>
          <w:lang w:val="sk-SK"/>
        </w:rPr>
        <w:t xml:space="preserve">Sucho </w:t>
      </w:r>
      <w:r w:rsidR="009D3F11" w:rsidRPr="00AE31F8">
        <w:rPr>
          <w:b/>
          <w:lang w:val="sk-SK"/>
        </w:rPr>
        <w:t>v roku 2018 v členských štátoch EÚ, informácie o ad hoc platbách a aplikovaní poistných schém</w:t>
      </w:r>
    </w:p>
    <w:p w:rsidR="009D3F11" w:rsidRPr="00AE31F8" w:rsidRDefault="009D3F11" w:rsidP="005C06B4">
      <w:pPr>
        <w:ind w:left="180"/>
        <w:jc w:val="both"/>
        <w:rPr>
          <w:lang w:val="sk-SK"/>
        </w:rPr>
      </w:pPr>
      <w:r w:rsidRPr="00AE31F8">
        <w:rPr>
          <w:lang w:val="sk-SK"/>
        </w:rPr>
        <w:t>V DE dosiahli straty vplyvom sucha 3</w:t>
      </w:r>
      <w:r w:rsidR="00664C46" w:rsidRPr="00AE31F8">
        <w:rPr>
          <w:lang w:val="sk-SK"/>
        </w:rPr>
        <w:t xml:space="preserve"> mld. eur a straty výnosov</w:t>
      </w:r>
      <w:r w:rsidRPr="00AE31F8">
        <w:rPr>
          <w:lang w:val="sk-SK"/>
        </w:rPr>
        <w:t xml:space="preserve"> 35%, vláda poskytla kompenzáciu 340 mil. eur, ale nie všetkým. Poistenia pre prípady sucha neboli dostatočne aplikované. V SE predstavujú kompenzácie za straty kvôli suchu až 50%, výplaty boli v novembri, zvyšné budú v júni 2019, v IT sa z poistenia hradí 50 – 60% strát. V BE sa zo zriadeného fondu na pokrytie strát kvôli suchu ešte nevyplatilo nič. Vo FR je poistená asi tretina všetkých poľnohospodárskych plôch</w:t>
      </w:r>
      <w:r w:rsidR="001B45D4" w:rsidRPr="00AE31F8">
        <w:rPr>
          <w:lang w:val="sk-SK"/>
        </w:rPr>
        <w:t xml:space="preserve"> (40% pre prípady krupobitia, 40% záplavy a 20% klimatické výkyvy). V ES odhady strát vyhodnocuje ministerstvo poľnohospodárstva, ale nie vždy v súlade s predstavami poľnohospodárskych organizácií.</w:t>
      </w:r>
    </w:p>
    <w:p w:rsidR="001B45D4" w:rsidRPr="00AE31F8" w:rsidRDefault="001B45D4" w:rsidP="005C06B4">
      <w:pPr>
        <w:ind w:left="180"/>
        <w:jc w:val="both"/>
        <w:rPr>
          <w:lang w:val="sk-SK"/>
        </w:rPr>
      </w:pPr>
    </w:p>
    <w:p w:rsidR="00A2417F" w:rsidRPr="00AE31F8" w:rsidRDefault="001B45D4" w:rsidP="001B45D4">
      <w:pPr>
        <w:ind w:left="180"/>
        <w:jc w:val="both"/>
        <w:rPr>
          <w:b/>
          <w:lang w:val="sk-SK"/>
        </w:rPr>
      </w:pPr>
      <w:r w:rsidRPr="00AE31F8">
        <w:rPr>
          <w:b/>
          <w:lang w:val="sk-SK"/>
        </w:rPr>
        <w:t>Informácia o stretnutí Copa a Cogeca s austrálskou veľvyslankyňou Fionou Simpsonovou o riadení rizík a opatreniach k riadeniu sucha</w:t>
      </w:r>
    </w:p>
    <w:p w:rsidR="001B45D4" w:rsidRPr="00AE31F8" w:rsidRDefault="001B45D4" w:rsidP="001B45D4">
      <w:pPr>
        <w:ind w:left="180"/>
        <w:jc w:val="both"/>
        <w:rPr>
          <w:lang w:val="sk-SK"/>
        </w:rPr>
      </w:pPr>
      <w:r w:rsidRPr="00AE31F8">
        <w:rPr>
          <w:lang w:val="sk-SK"/>
        </w:rPr>
        <w:t xml:space="preserve">Sekretariát iba stručne informoval o stretnutí, situácia na oboch kontinentoch je odlišná. </w:t>
      </w:r>
    </w:p>
    <w:p w:rsidR="001B45D4" w:rsidRPr="00AE31F8" w:rsidRDefault="001B45D4" w:rsidP="001B45D4">
      <w:pPr>
        <w:ind w:left="180"/>
        <w:jc w:val="both"/>
        <w:rPr>
          <w:lang w:val="sk-SK"/>
        </w:rPr>
      </w:pPr>
      <w:r w:rsidRPr="00AE31F8">
        <w:rPr>
          <w:lang w:val="sk-SK"/>
        </w:rPr>
        <w:t>K suchu a k ďalším špecifickým problémom sa pripravuje špeciálna pracovná skupina, ktorá by mala zasadať na jeseň 2019.</w:t>
      </w:r>
    </w:p>
    <w:p w:rsidR="001B45D4" w:rsidRPr="00AE31F8" w:rsidRDefault="001B45D4" w:rsidP="001B45D4">
      <w:pPr>
        <w:ind w:left="180"/>
        <w:jc w:val="both"/>
        <w:rPr>
          <w:lang w:val="sk-SK"/>
        </w:rPr>
      </w:pPr>
    </w:p>
    <w:p w:rsidR="001B45D4" w:rsidRPr="00AE31F8" w:rsidRDefault="001B45D4" w:rsidP="001B45D4">
      <w:pPr>
        <w:ind w:left="180"/>
        <w:jc w:val="both"/>
        <w:rPr>
          <w:b/>
          <w:lang w:val="sk-SK"/>
        </w:rPr>
      </w:pPr>
      <w:r w:rsidRPr="00AE31F8">
        <w:rPr>
          <w:b/>
          <w:lang w:val="sk-SK"/>
        </w:rPr>
        <w:t xml:space="preserve">Správa ECORYS: </w:t>
      </w:r>
      <w:r w:rsidR="00E9365A" w:rsidRPr="00AE31F8">
        <w:rPr>
          <w:b/>
          <w:lang w:val="sk-SK"/>
        </w:rPr>
        <w:t>Zlepšenie kritérií a stratégií v oblasti predchádzania krízam a ich riadenie v poľnohospodárskom sektore</w:t>
      </w:r>
    </w:p>
    <w:p w:rsidR="001B45D4" w:rsidRPr="00AE31F8" w:rsidRDefault="001B45D4" w:rsidP="001B45D4">
      <w:pPr>
        <w:ind w:left="180"/>
        <w:jc w:val="both"/>
        <w:rPr>
          <w:lang w:val="sk-SK"/>
        </w:rPr>
      </w:pPr>
      <w:r w:rsidRPr="00AE31F8">
        <w:rPr>
          <w:lang w:val="sk-SK"/>
        </w:rPr>
        <w:t>Konzultantská spoločnosť ECORYS na žiadosť DG AGRI spracovala a v marci 2019 publikovala správu – komplexnú analýzu  a zhodnotenie všetkých aspektov súvisiacich s krízovými situáciami</w:t>
      </w:r>
      <w:r w:rsidR="00664C46" w:rsidRPr="00AE31F8">
        <w:rPr>
          <w:lang w:val="sk-SK"/>
        </w:rPr>
        <w:t xml:space="preserve"> s cieľom zlepšiť zameranie sa a účinnosť SPP. Štúdia zohľadňuje perspektívy rôznych zúčastnených súkromných a verejných subjektov a prispieva k budúcim politickým úvahám. Zo zistenia vyplýva, že súčasné nástroje krízového riadenia je potrebné posilniť a lepšie vyjasniť rozdelenie vhodných akcií na predchádzanie krízam na strane poľnohospodárskych podnikov, členských štátov a EÚ.</w:t>
      </w:r>
    </w:p>
    <w:sectPr w:rsidR="001B45D4" w:rsidRPr="00AE31F8">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5AC0" w:rsidRDefault="00195AC0">
      <w:r>
        <w:separator/>
      </w:r>
    </w:p>
  </w:endnote>
  <w:endnote w:type="continuationSeparator" w:id="0">
    <w:p w:rsidR="00195AC0" w:rsidRDefault="00195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CellMar>
        <w:top w:w="15" w:type="dxa"/>
        <w:left w:w="15" w:type="dxa"/>
        <w:bottom w:w="15" w:type="dxa"/>
        <w:right w:w="15" w:type="dxa"/>
      </w:tblCellMar>
      <w:tblLook w:val="0000" w:firstRow="0" w:lastRow="0" w:firstColumn="0" w:lastColumn="0" w:noHBand="0" w:noVBand="0"/>
    </w:tblPr>
    <w:tblGrid>
      <w:gridCol w:w="3819"/>
      <w:gridCol w:w="5253"/>
    </w:tblGrid>
    <w:tr w:rsidR="009D3F11" w:rsidRPr="00715CC6">
      <w:trPr>
        <w:trHeight w:val="100"/>
      </w:trPr>
      <w:tc>
        <w:tcPr>
          <w:tcW w:w="0" w:type="auto"/>
          <w:shd w:val="clear" w:color="auto" w:fill="28659C"/>
          <w:tcMar>
            <w:top w:w="0" w:type="dxa"/>
            <w:left w:w="115" w:type="dxa"/>
            <w:bottom w:w="0" w:type="dxa"/>
            <w:right w:w="115" w:type="dxa"/>
          </w:tcMar>
        </w:tcPr>
        <w:p w:rsidR="009D3F11" w:rsidRPr="00715CC6" w:rsidRDefault="009D3F11" w:rsidP="009D3F11">
          <w:pPr>
            <w:rPr>
              <w:sz w:val="10"/>
            </w:rPr>
          </w:pPr>
        </w:p>
      </w:tc>
      <w:tc>
        <w:tcPr>
          <w:tcW w:w="0" w:type="auto"/>
          <w:shd w:val="clear" w:color="auto" w:fill="28659C"/>
          <w:tcMar>
            <w:top w:w="0" w:type="dxa"/>
            <w:left w:w="115" w:type="dxa"/>
            <w:bottom w:w="0" w:type="dxa"/>
            <w:right w:w="115" w:type="dxa"/>
          </w:tcMar>
        </w:tcPr>
        <w:p w:rsidR="009D3F11" w:rsidRPr="00715CC6" w:rsidRDefault="009D3F11" w:rsidP="009D3F11">
          <w:pPr>
            <w:rPr>
              <w:sz w:val="10"/>
            </w:rPr>
          </w:pPr>
        </w:p>
      </w:tc>
    </w:tr>
    <w:tr w:rsidR="009D3F11" w:rsidRPr="00715CC6">
      <w:tc>
        <w:tcPr>
          <w:tcW w:w="0" w:type="auto"/>
          <w:tcMar>
            <w:top w:w="144" w:type="dxa"/>
            <w:left w:w="115" w:type="dxa"/>
            <w:bottom w:w="144" w:type="dxa"/>
            <w:right w:w="115" w:type="dxa"/>
          </w:tcMar>
          <w:vAlign w:val="center"/>
        </w:tcPr>
        <w:p w:rsidR="009D3F11" w:rsidRPr="00715CC6" w:rsidRDefault="009D3F11" w:rsidP="009D3F11">
          <w:pPr>
            <w:pStyle w:val="Normlnywebov"/>
            <w:spacing w:before="0" w:beforeAutospacing="0" w:after="0" w:afterAutospacing="0"/>
          </w:pPr>
          <w:r w:rsidRPr="00715CC6">
            <w:rPr>
              <w:smallCaps/>
              <w:color w:val="808080"/>
              <w:sz w:val="18"/>
              <w:szCs w:val="18"/>
            </w:rPr>
            <w:t xml:space="preserve">EMAIL: </w:t>
          </w:r>
          <w:hyperlink r:id="rId1" w:history="1">
            <w:r w:rsidRPr="00715CC6">
              <w:rPr>
                <w:rStyle w:val="Hypertextovprepojenie"/>
                <w:smallCaps/>
                <w:color w:val="0563C1"/>
                <w:sz w:val="18"/>
                <w:szCs w:val="18"/>
              </w:rPr>
              <w:t>PD@CROSSEUROPE-CONSULTING.COM</w:t>
            </w:r>
          </w:hyperlink>
        </w:p>
        <w:p w:rsidR="009D3F11" w:rsidRPr="00715CC6" w:rsidRDefault="009D3F11" w:rsidP="009D3F11">
          <w:pPr>
            <w:pStyle w:val="Normlnywebov"/>
            <w:spacing w:before="0" w:beforeAutospacing="0" w:after="0" w:afterAutospacing="0" w:line="0" w:lineRule="atLeast"/>
          </w:pPr>
          <w:r w:rsidRPr="00715CC6">
            <w:rPr>
              <w:smallCaps/>
              <w:color w:val="808080"/>
              <w:sz w:val="18"/>
              <w:szCs w:val="18"/>
            </w:rPr>
            <w:t>TEL: 00420 608 128 444</w:t>
          </w:r>
        </w:p>
      </w:tc>
      <w:tc>
        <w:tcPr>
          <w:tcW w:w="0" w:type="auto"/>
          <w:tcMar>
            <w:top w:w="144" w:type="dxa"/>
            <w:left w:w="115" w:type="dxa"/>
            <w:bottom w:w="144" w:type="dxa"/>
            <w:right w:w="115" w:type="dxa"/>
          </w:tcMar>
          <w:vAlign w:val="center"/>
        </w:tcPr>
        <w:p w:rsidR="009D3F11" w:rsidRPr="00715CC6" w:rsidRDefault="009D3F11" w:rsidP="009D3F11">
          <w:pPr>
            <w:pStyle w:val="Normlnywebov"/>
            <w:spacing w:before="0" w:beforeAutospacing="0" w:after="0" w:afterAutospacing="0" w:line="0" w:lineRule="atLeast"/>
            <w:jc w:val="right"/>
            <w:rPr>
              <w:color w:val="000000"/>
            </w:rPr>
          </w:pPr>
        </w:p>
        <w:p w:rsidR="009D3F11" w:rsidRPr="00715CC6" w:rsidRDefault="009D3F11" w:rsidP="009D3F11">
          <w:pPr>
            <w:pStyle w:val="Normlnywebov"/>
            <w:spacing w:before="0" w:beforeAutospacing="0" w:after="0" w:afterAutospacing="0" w:line="0" w:lineRule="atLeast"/>
            <w:jc w:val="right"/>
          </w:pPr>
          <w:r w:rsidRPr="00715CC6">
            <w:rPr>
              <w:color w:val="000000"/>
            </w:rPr>
            <w:t xml:space="preserve">                                                                 </w:t>
          </w:r>
          <w:r w:rsidR="00A524EA" w:rsidRPr="00715CC6">
            <w:rPr>
              <w:noProof/>
              <w:color w:val="000000"/>
            </w:rPr>
            <w:drawing>
              <wp:inline distT="0" distB="0" distL="0" distR="0">
                <wp:extent cx="1149350" cy="304800"/>
                <wp:effectExtent l="0" t="0" r="0" b="0"/>
                <wp:docPr id="1" name="Obrázok 1" descr="dpS1TRZtNnDBdPcCbVz3QA2tRZsYNwDG-oi0P3Y1w5hV-lH-bSOrHQE3k84G7iVoL23mQZX3IcVEfSnMG7zcybmFpqMxCJL-I3IEhsZSRo12SJsZBQW0kJqMCkQDZ21vwWoEEO-X1b5rxnElh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S1TRZtNnDBdPcCbVz3QA2tRZsYNwDG-oi0P3Y1w5hV-lH-bSOrHQE3k84G7iVoL23mQZX3IcVEfSnMG7zcybmFpqMxCJL-I3IEhsZSRo12SJsZBQW0kJqMCkQDZ21vwWoEEO-X1b5rxnElh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9350" cy="304800"/>
                        </a:xfrm>
                        <a:prstGeom prst="rect">
                          <a:avLst/>
                        </a:prstGeom>
                        <a:noFill/>
                        <a:ln>
                          <a:noFill/>
                        </a:ln>
                      </pic:spPr>
                    </pic:pic>
                  </a:graphicData>
                </a:graphic>
              </wp:inline>
            </w:drawing>
          </w:r>
        </w:p>
      </w:tc>
    </w:tr>
  </w:tbl>
  <w:p w:rsidR="009D3F11" w:rsidRDefault="009D3F11">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5AC0" w:rsidRDefault="00195AC0">
      <w:r>
        <w:separator/>
      </w:r>
    </w:p>
  </w:footnote>
  <w:footnote w:type="continuationSeparator" w:id="0">
    <w:p w:rsidR="00195AC0" w:rsidRDefault="00195A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F11" w:rsidRPr="00AE31F8" w:rsidRDefault="009D3F11" w:rsidP="009D3F11">
    <w:pPr>
      <w:pStyle w:val="Normlnywebov"/>
      <w:spacing w:before="0" w:beforeAutospacing="0" w:after="0" w:afterAutospacing="0"/>
      <w:jc w:val="center"/>
      <w:rPr>
        <w:b/>
        <w:bCs/>
        <w:color w:val="000000"/>
        <w:sz w:val="40"/>
        <w:szCs w:val="40"/>
        <w:lang w:val="sk-SK"/>
      </w:rPr>
    </w:pPr>
    <w:r w:rsidRPr="00AE31F8">
      <w:rPr>
        <w:b/>
        <w:bCs/>
        <w:color w:val="000000"/>
        <w:sz w:val="40"/>
        <w:szCs w:val="40"/>
        <w:lang w:val="sk-SK"/>
      </w:rPr>
      <w:t>Správa zo zasadnutia Copa Cogeca</w:t>
    </w:r>
  </w:p>
  <w:p w:rsidR="009D3F11" w:rsidRPr="00715CC6" w:rsidRDefault="009D3F11" w:rsidP="009D3F11">
    <w:pPr>
      <w:pStyle w:val="Normlnywebov"/>
      <w:spacing w:before="0" w:beforeAutospacing="0" w:after="0" w:afterAutospacing="0"/>
    </w:pPr>
    <w:r w:rsidRPr="00715CC6">
      <w:rPr>
        <w:rStyle w:val="apple-tab-span"/>
        <w:color w:val="000000"/>
        <w:sz w:val="22"/>
        <w:szCs w:val="22"/>
      </w:rPr>
      <w:tab/>
    </w:r>
    <w:r w:rsidRPr="00715CC6">
      <w:rPr>
        <w:rStyle w:val="apple-tab-span"/>
        <w:color w:val="000000"/>
        <w:sz w:val="22"/>
        <w:szCs w:val="22"/>
      </w:rPr>
      <w:tab/>
    </w:r>
  </w:p>
  <w:tbl>
    <w:tblPr>
      <w:tblpPr w:leftFromText="141" w:rightFromText="141" w:vertAnchor="text" w:horzAnchor="page" w:tblpX="1843" w:tblpY="22"/>
      <w:tblW w:w="0" w:type="auto"/>
      <w:tblCellMar>
        <w:top w:w="15" w:type="dxa"/>
        <w:left w:w="15" w:type="dxa"/>
        <w:bottom w:w="15" w:type="dxa"/>
        <w:right w:w="15" w:type="dxa"/>
      </w:tblCellMar>
      <w:tblLook w:val="0000" w:firstRow="0" w:lastRow="0" w:firstColumn="0" w:lastColumn="0" w:noHBand="0" w:noVBand="0"/>
    </w:tblPr>
    <w:tblGrid>
      <w:gridCol w:w="236"/>
      <w:gridCol w:w="7965"/>
    </w:tblGrid>
    <w:tr w:rsidR="009D3F11" w:rsidRPr="00715CC6">
      <w:trPr>
        <w:trHeight w:val="100"/>
      </w:trPr>
      <w:tc>
        <w:tcPr>
          <w:tcW w:w="0" w:type="auto"/>
          <w:shd w:val="clear" w:color="auto" w:fill="265F92"/>
          <w:tcMar>
            <w:top w:w="0" w:type="dxa"/>
            <w:left w:w="115" w:type="dxa"/>
            <w:bottom w:w="0" w:type="dxa"/>
            <w:right w:w="115" w:type="dxa"/>
          </w:tcMar>
        </w:tcPr>
        <w:p w:rsidR="009D3F11" w:rsidRPr="00715CC6" w:rsidRDefault="009D3F11" w:rsidP="009D3F11">
          <w:pPr>
            <w:rPr>
              <w:sz w:val="10"/>
            </w:rPr>
          </w:pPr>
          <w:r w:rsidRPr="00715CC6">
            <w:rPr>
              <w:sz w:val="10"/>
            </w:rPr>
            <w:t xml:space="preserve"> </w:t>
          </w:r>
        </w:p>
        <w:p w:rsidR="009D3F11" w:rsidRPr="00715CC6" w:rsidRDefault="009D3F11" w:rsidP="009D3F11">
          <w:pPr>
            <w:rPr>
              <w:sz w:val="10"/>
            </w:rPr>
          </w:pPr>
        </w:p>
      </w:tc>
      <w:tc>
        <w:tcPr>
          <w:tcW w:w="7965" w:type="dxa"/>
          <w:shd w:val="clear" w:color="auto" w:fill="265F92"/>
          <w:tcMar>
            <w:top w:w="0" w:type="dxa"/>
            <w:left w:w="115" w:type="dxa"/>
            <w:bottom w:w="0" w:type="dxa"/>
            <w:right w:w="115" w:type="dxa"/>
          </w:tcMar>
        </w:tcPr>
        <w:p w:rsidR="009D3F11" w:rsidRPr="00715CC6" w:rsidRDefault="009D3F11" w:rsidP="009D3F11">
          <w:pPr>
            <w:rPr>
              <w:sz w:val="10"/>
            </w:rPr>
          </w:pPr>
        </w:p>
      </w:tc>
    </w:tr>
  </w:tbl>
  <w:p w:rsidR="009D3F11" w:rsidRDefault="009D3F11">
    <w:pPr>
      <w:pStyle w:val="Hlavik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6B4"/>
    <w:rsid w:val="00195AC0"/>
    <w:rsid w:val="001B45D4"/>
    <w:rsid w:val="00230783"/>
    <w:rsid w:val="002F1E1A"/>
    <w:rsid w:val="005206D3"/>
    <w:rsid w:val="005C06B4"/>
    <w:rsid w:val="00664C46"/>
    <w:rsid w:val="0070536E"/>
    <w:rsid w:val="009D3F11"/>
    <w:rsid w:val="00A2417F"/>
    <w:rsid w:val="00A524EA"/>
    <w:rsid w:val="00A64D33"/>
    <w:rsid w:val="00AB5E6C"/>
    <w:rsid w:val="00AE31F8"/>
    <w:rsid w:val="00B22C14"/>
    <w:rsid w:val="00DA2173"/>
    <w:rsid w:val="00E9365A"/>
    <w:rsid w:val="00ED3DBD"/>
    <w:rsid w:val="00EF0C57"/>
    <w:rsid w:val="00FA6AA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30C5689-1FDC-4BA0-93D6-C101D8CBB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y">
    <w:name w:val="Normal"/>
    <w:qFormat/>
    <w:rsid w:val="005C06B4"/>
    <w:rPr>
      <w:sz w:val="24"/>
      <w:szCs w:val="24"/>
      <w:lang w:val="hu-HU" w:eastAsia="hu-HU"/>
    </w:rPr>
  </w:style>
  <w:style w:type="character" w:default="1" w:styleId="Predvolenpsmoodseku">
    <w:name w:val="Default Paragraph Font"/>
    <w:semiHidden/>
  </w:style>
  <w:style w:type="table" w:default="1" w:styleId="Normlnatabuka">
    <w:name w:val="Normal Table"/>
    <w:semiHidden/>
    <w:tblPr>
      <w:tblInd w:w="0" w:type="dxa"/>
      <w:tblCellMar>
        <w:top w:w="0" w:type="dxa"/>
        <w:left w:w="108" w:type="dxa"/>
        <w:bottom w:w="0" w:type="dxa"/>
        <w:right w:w="108" w:type="dxa"/>
      </w:tblCellMar>
    </w:tblPr>
  </w:style>
  <w:style w:type="numbering" w:default="1" w:styleId="Bezzoznamu">
    <w:name w:val="No List"/>
    <w:semiHidden/>
  </w:style>
  <w:style w:type="paragraph" w:styleId="Normlnywebov">
    <w:name w:val="Normal (Web)"/>
    <w:basedOn w:val="Normlny"/>
    <w:rsid w:val="005C06B4"/>
    <w:pPr>
      <w:spacing w:before="100" w:beforeAutospacing="1" w:after="100" w:afterAutospacing="1"/>
    </w:pPr>
  </w:style>
  <w:style w:type="character" w:styleId="Hypertextovprepojenie">
    <w:name w:val="Hyperlink"/>
    <w:rsid w:val="005C06B4"/>
    <w:rPr>
      <w:color w:val="0000FF"/>
      <w:u w:val="single"/>
    </w:rPr>
  </w:style>
  <w:style w:type="character" w:customStyle="1" w:styleId="apple-tab-span">
    <w:name w:val="apple-tab-span"/>
    <w:basedOn w:val="Predvolenpsmoodseku"/>
    <w:rsid w:val="005C06B4"/>
  </w:style>
  <w:style w:type="paragraph" w:styleId="Hlavika">
    <w:name w:val="header"/>
    <w:basedOn w:val="Normlny"/>
    <w:rsid w:val="005C06B4"/>
    <w:pPr>
      <w:tabs>
        <w:tab w:val="center" w:pos="4536"/>
        <w:tab w:val="right" w:pos="9072"/>
      </w:tabs>
    </w:pPr>
  </w:style>
  <w:style w:type="paragraph" w:styleId="Pta">
    <w:name w:val="footer"/>
    <w:basedOn w:val="Normlny"/>
    <w:rsid w:val="005C06B4"/>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mailto:pd@crosseurope-consulting.com"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715</Words>
  <Characters>4079</Characters>
  <Application>Microsoft Office Word</Application>
  <DocSecurity>0</DocSecurity>
  <Lines>33</Lines>
  <Paragraphs>9</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Pracovná skupina pre prezídium COPA,  25</vt:lpstr>
      <vt:lpstr>                      Pracovná skupina pre prezídium COPA,  25</vt:lpstr>
    </vt:vector>
  </TitlesOfParts>
  <Company/>
  <LinksUpToDate>false</LinksUpToDate>
  <CharactersWithSpaces>4785</CharactersWithSpaces>
  <SharedDoc>false</SharedDoc>
  <HLinks>
    <vt:vector size="6" baseType="variant">
      <vt:variant>
        <vt:i4>6881293</vt:i4>
      </vt:variant>
      <vt:variant>
        <vt:i4>0</vt:i4>
      </vt:variant>
      <vt:variant>
        <vt:i4>0</vt:i4>
      </vt:variant>
      <vt:variant>
        <vt:i4>5</vt:i4>
      </vt:variant>
      <vt:variant>
        <vt:lpwstr>mailto:pd@crosseurope-consulting.com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Pracovná skupina pre prezídium COPA,  25</dc:title>
  <dc:subject/>
  <dc:creator>Bea</dc:creator>
  <cp:keywords/>
  <dc:description/>
  <cp:lastModifiedBy>sppk sppk</cp:lastModifiedBy>
  <cp:revision>2</cp:revision>
  <cp:lastPrinted>2019-05-17T10:52:00Z</cp:lastPrinted>
  <dcterms:created xsi:type="dcterms:W3CDTF">2019-05-23T06:12:00Z</dcterms:created>
  <dcterms:modified xsi:type="dcterms:W3CDTF">2019-05-23T06:12:00Z</dcterms:modified>
</cp:coreProperties>
</file>